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5308" w14:textId="77777777" w:rsidR="001A1296" w:rsidRPr="007514C1" w:rsidRDefault="001A1296" w:rsidP="001A1296">
      <w:pPr>
        <w:pStyle w:val="Heading1"/>
        <w:spacing w:before="0" w:line="240" w:lineRule="auto"/>
        <w:jc w:val="center"/>
        <w:rPr>
          <w:sz w:val="22"/>
          <w:szCs w:val="22"/>
        </w:rPr>
      </w:pPr>
      <w:bookmarkStart w:id="0" w:name="_Toc423097811"/>
      <w:r w:rsidRPr="007514C1">
        <w:rPr>
          <w:sz w:val="22"/>
          <w:szCs w:val="22"/>
        </w:rPr>
        <w:t>ANNEX X</w:t>
      </w:r>
      <w:bookmarkEnd w:id="0"/>
    </w:p>
    <w:p w14:paraId="55EB1E17" w14:textId="77777777" w:rsidR="001A1296" w:rsidRPr="007514C1" w:rsidRDefault="001A1296" w:rsidP="001A1296">
      <w:pPr>
        <w:spacing w:after="0" w:line="240" w:lineRule="auto"/>
        <w:jc w:val="center"/>
      </w:pPr>
    </w:p>
    <w:p w14:paraId="37EE3D6F" w14:textId="36999B04" w:rsidR="001A1296" w:rsidRPr="007514C1" w:rsidRDefault="00C61F4F" w:rsidP="001A1296">
      <w:pPr>
        <w:pStyle w:val="Heading2"/>
        <w:spacing w:before="0" w:line="240" w:lineRule="auto"/>
        <w:jc w:val="center"/>
        <w:rPr>
          <w:sz w:val="22"/>
          <w:szCs w:val="22"/>
        </w:rPr>
      </w:pPr>
      <w:r>
        <w:rPr>
          <w:sz w:val="22"/>
          <w:szCs w:val="22"/>
        </w:rPr>
        <w:t>EU questionnaire and the anamnesis for annual medical check-up</w:t>
      </w:r>
    </w:p>
    <w:p w14:paraId="49B7A670" w14:textId="77777777" w:rsidR="001A1296" w:rsidRPr="007514C1" w:rsidRDefault="001A1296" w:rsidP="001A1296">
      <w:pPr>
        <w:spacing w:after="0" w:line="240" w:lineRule="auto"/>
      </w:pPr>
    </w:p>
    <w:p w14:paraId="2578EBBC" w14:textId="77777777" w:rsidR="001A1296" w:rsidRPr="007514C1" w:rsidRDefault="001A1296" w:rsidP="001A1296">
      <w:pPr>
        <w:spacing w:after="0" w:line="240" w:lineRule="auto"/>
        <w:rPr>
          <w:b/>
          <w:u w:val="single"/>
        </w:rPr>
      </w:pPr>
      <w:r w:rsidRPr="007514C1">
        <w:rPr>
          <w:b/>
          <w:u w:val="single"/>
        </w:rPr>
        <w:t xml:space="preserve">Lists of tests to carry out for annual medicals visits: </w:t>
      </w:r>
    </w:p>
    <w:p w14:paraId="2AF844FE" w14:textId="77777777" w:rsidR="001A1296" w:rsidRPr="007514C1" w:rsidRDefault="001A1296" w:rsidP="001A1296">
      <w:pPr>
        <w:spacing w:after="0" w:line="240" w:lineRule="auto"/>
      </w:pPr>
    </w:p>
    <w:p w14:paraId="117B98DF"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Medical examination. </w:t>
      </w:r>
    </w:p>
    <w:p w14:paraId="4DA45942" w14:textId="77777777" w:rsidR="001A1296" w:rsidRPr="007514C1" w:rsidRDefault="001A1296" w:rsidP="001A1296">
      <w:pPr>
        <w:spacing w:after="0" w:line="240" w:lineRule="auto"/>
      </w:pPr>
    </w:p>
    <w:p w14:paraId="3501264C"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X-ray of the lungs, only if the medical doctor considers it necessary (included in laboratory visit). </w:t>
      </w:r>
    </w:p>
    <w:p w14:paraId="08270BFA" w14:textId="77777777" w:rsidR="001A1296" w:rsidRPr="007514C1" w:rsidRDefault="001A1296" w:rsidP="001A1296">
      <w:pPr>
        <w:spacing w:after="0" w:line="240" w:lineRule="auto"/>
      </w:pPr>
    </w:p>
    <w:p w14:paraId="5D032B8B"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Electrocardiogram every two years after the age of 40. </w:t>
      </w:r>
    </w:p>
    <w:p w14:paraId="5DAA5666" w14:textId="77777777" w:rsidR="001A1296" w:rsidRPr="007514C1" w:rsidRDefault="001A1296" w:rsidP="001A1296">
      <w:pPr>
        <w:spacing w:after="0" w:line="240" w:lineRule="auto"/>
      </w:pPr>
      <w:r w:rsidRPr="007514C1">
        <w:t xml:space="preserve"> </w:t>
      </w:r>
    </w:p>
    <w:p w14:paraId="6AC17E43"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Laboratory tests: </w:t>
      </w:r>
    </w:p>
    <w:p w14:paraId="1C15D02C" w14:textId="77777777" w:rsidR="001A1296" w:rsidRPr="007514C1" w:rsidRDefault="001A1296" w:rsidP="001A1296">
      <w:pPr>
        <w:spacing w:after="0" w:line="240" w:lineRule="auto"/>
      </w:pPr>
    </w:p>
    <w:p w14:paraId="0BDFD6D1" w14:textId="77777777" w:rsidR="001A1296" w:rsidRPr="007514C1" w:rsidRDefault="001A1296" w:rsidP="001A1296">
      <w:pPr>
        <w:pStyle w:val="ListParagraph"/>
        <w:numPr>
          <w:ilvl w:val="0"/>
          <w:numId w:val="2"/>
        </w:numPr>
        <w:spacing w:after="0" w:line="240" w:lineRule="auto"/>
        <w:rPr>
          <w:sz w:val="22"/>
        </w:rPr>
      </w:pPr>
      <w:r w:rsidRPr="007514C1">
        <w:rPr>
          <w:sz w:val="22"/>
        </w:rPr>
        <w:t xml:space="preserve">Urine analysis; </w:t>
      </w:r>
    </w:p>
    <w:p w14:paraId="2540D78F" w14:textId="77777777" w:rsidR="001A1296" w:rsidRPr="007514C1" w:rsidRDefault="001A1296" w:rsidP="001A1296">
      <w:pPr>
        <w:pStyle w:val="ListParagraph"/>
        <w:numPr>
          <w:ilvl w:val="0"/>
          <w:numId w:val="2"/>
        </w:numPr>
        <w:spacing w:after="0" w:line="240" w:lineRule="auto"/>
        <w:rPr>
          <w:sz w:val="22"/>
        </w:rPr>
      </w:pPr>
      <w:r w:rsidRPr="007514C1">
        <w:rPr>
          <w:sz w:val="22"/>
        </w:rPr>
        <w:t xml:space="preserve">Blood test: sedimentation rate, urea, uric acid, creatinine, glucose; gamma-GT (if high, also transaminases, ASAT and ALAT); syphilis serology (every 5 years), haemoglobin, erythrocytes with specifications, leucocytes with specifications; </w:t>
      </w:r>
    </w:p>
    <w:p w14:paraId="439A554D" w14:textId="77777777" w:rsidR="001A1296" w:rsidRPr="007514C1" w:rsidRDefault="001A1296" w:rsidP="001A1296">
      <w:pPr>
        <w:pStyle w:val="ListParagraph"/>
        <w:numPr>
          <w:ilvl w:val="0"/>
          <w:numId w:val="2"/>
        </w:numPr>
        <w:spacing w:after="0" w:line="240" w:lineRule="auto"/>
        <w:rPr>
          <w:sz w:val="22"/>
        </w:rPr>
      </w:pPr>
      <w:r w:rsidRPr="007514C1">
        <w:rPr>
          <w:sz w:val="22"/>
        </w:rPr>
        <w:t xml:space="preserve">PSA for men from the age of 50 onwards; </w:t>
      </w:r>
    </w:p>
    <w:p w14:paraId="12C74856" w14:textId="77777777" w:rsidR="001A1296" w:rsidRPr="007514C1" w:rsidRDefault="001A1296" w:rsidP="001A1296">
      <w:pPr>
        <w:pStyle w:val="ListParagraph"/>
        <w:numPr>
          <w:ilvl w:val="0"/>
          <w:numId w:val="2"/>
        </w:numPr>
        <w:spacing w:after="0" w:line="240" w:lineRule="auto"/>
        <w:rPr>
          <w:sz w:val="22"/>
        </w:rPr>
      </w:pPr>
      <w:r w:rsidRPr="007514C1">
        <w:rPr>
          <w:sz w:val="22"/>
        </w:rPr>
        <w:t xml:space="preserve">Test for blood in stools (from the age of 45 onwards). </w:t>
      </w:r>
      <w:bookmarkStart w:id="1" w:name="_GoBack"/>
      <w:bookmarkEnd w:id="1"/>
    </w:p>
    <w:p w14:paraId="022ECB29" w14:textId="77777777" w:rsidR="001A1296" w:rsidRPr="007514C1" w:rsidRDefault="001A1296" w:rsidP="001A1296">
      <w:pPr>
        <w:spacing w:after="0" w:line="240" w:lineRule="auto"/>
      </w:pPr>
    </w:p>
    <w:p w14:paraId="5834950C"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Gynaecological screening: </w:t>
      </w:r>
    </w:p>
    <w:p w14:paraId="7446CD31" w14:textId="77777777" w:rsidR="001A1296" w:rsidRPr="007514C1" w:rsidRDefault="001A1296" w:rsidP="001A1296">
      <w:pPr>
        <w:spacing w:after="0" w:line="240" w:lineRule="auto"/>
      </w:pPr>
    </w:p>
    <w:p w14:paraId="5B3ACDDB" w14:textId="77777777" w:rsidR="001A1296" w:rsidRPr="007514C1" w:rsidRDefault="001A1296" w:rsidP="001A1296">
      <w:pPr>
        <w:pStyle w:val="ListParagraph"/>
        <w:numPr>
          <w:ilvl w:val="0"/>
          <w:numId w:val="3"/>
        </w:numPr>
        <w:spacing w:after="0" w:line="240" w:lineRule="auto"/>
        <w:rPr>
          <w:sz w:val="22"/>
        </w:rPr>
      </w:pPr>
      <w:r w:rsidRPr="007514C1">
        <w:rPr>
          <w:sz w:val="22"/>
        </w:rPr>
        <w:t xml:space="preserve">Clinical examination; </w:t>
      </w:r>
    </w:p>
    <w:p w14:paraId="79F82A8A" w14:textId="77777777" w:rsidR="001A1296" w:rsidRPr="007514C1" w:rsidRDefault="001A1296" w:rsidP="001A1296">
      <w:pPr>
        <w:pStyle w:val="ListParagraph"/>
        <w:numPr>
          <w:ilvl w:val="0"/>
          <w:numId w:val="3"/>
        </w:numPr>
        <w:spacing w:after="0" w:line="240" w:lineRule="auto"/>
        <w:rPr>
          <w:sz w:val="22"/>
        </w:rPr>
      </w:pPr>
      <w:r w:rsidRPr="007514C1">
        <w:rPr>
          <w:sz w:val="22"/>
        </w:rPr>
        <w:t xml:space="preserve">Cytology test (PAP smear test); </w:t>
      </w:r>
    </w:p>
    <w:p w14:paraId="4084E41F" w14:textId="77777777" w:rsidR="001A1296" w:rsidRPr="007514C1" w:rsidRDefault="001A1296" w:rsidP="001A1296">
      <w:pPr>
        <w:pStyle w:val="ListParagraph"/>
        <w:numPr>
          <w:ilvl w:val="0"/>
          <w:numId w:val="3"/>
        </w:numPr>
        <w:spacing w:after="0" w:line="240" w:lineRule="auto"/>
        <w:rPr>
          <w:sz w:val="22"/>
        </w:rPr>
      </w:pPr>
      <w:r w:rsidRPr="007514C1">
        <w:rPr>
          <w:sz w:val="22"/>
        </w:rPr>
        <w:t xml:space="preserve">Echography of the breast and mammography from the age of 40 onwards if medically indicated </w:t>
      </w:r>
    </w:p>
    <w:p w14:paraId="453059FF" w14:textId="77777777" w:rsidR="001A1296" w:rsidRPr="007514C1" w:rsidRDefault="001A1296" w:rsidP="001A1296">
      <w:pPr>
        <w:spacing w:after="0" w:line="240" w:lineRule="auto"/>
      </w:pPr>
    </w:p>
    <w:p w14:paraId="6AF95238"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Special screening for men from the age of 45 onwards: </w:t>
      </w:r>
    </w:p>
    <w:p w14:paraId="79D40C3A" w14:textId="77777777" w:rsidR="001A1296" w:rsidRPr="007514C1" w:rsidRDefault="001A1296" w:rsidP="001A1296">
      <w:pPr>
        <w:spacing w:after="0" w:line="240" w:lineRule="auto"/>
      </w:pPr>
    </w:p>
    <w:p w14:paraId="56E5FDD6" w14:textId="77777777" w:rsidR="001A1296" w:rsidRPr="007514C1" w:rsidRDefault="001A1296" w:rsidP="001A1296">
      <w:pPr>
        <w:pStyle w:val="ListParagraph"/>
        <w:numPr>
          <w:ilvl w:val="0"/>
          <w:numId w:val="4"/>
        </w:numPr>
        <w:spacing w:after="0" w:line="240" w:lineRule="auto"/>
        <w:rPr>
          <w:sz w:val="22"/>
        </w:rPr>
      </w:pPr>
      <w:r w:rsidRPr="007514C1">
        <w:rPr>
          <w:sz w:val="22"/>
        </w:rPr>
        <w:t xml:space="preserve">Clinical examination; </w:t>
      </w:r>
    </w:p>
    <w:p w14:paraId="5047E2D1" w14:textId="77777777" w:rsidR="001A1296" w:rsidRPr="007514C1" w:rsidRDefault="001A1296" w:rsidP="001A1296">
      <w:pPr>
        <w:pStyle w:val="ListParagraph"/>
        <w:numPr>
          <w:ilvl w:val="0"/>
          <w:numId w:val="4"/>
        </w:numPr>
        <w:spacing w:after="0" w:line="240" w:lineRule="auto"/>
        <w:rPr>
          <w:sz w:val="22"/>
        </w:rPr>
      </w:pPr>
      <w:r w:rsidRPr="007514C1">
        <w:rPr>
          <w:sz w:val="22"/>
        </w:rPr>
        <w:t xml:space="preserve">Rectal examination of prostate. </w:t>
      </w:r>
    </w:p>
    <w:p w14:paraId="70D5513A" w14:textId="77777777" w:rsidR="001A1296" w:rsidRPr="007514C1" w:rsidRDefault="001A1296" w:rsidP="001A1296">
      <w:pPr>
        <w:spacing w:after="0" w:line="240" w:lineRule="auto"/>
      </w:pPr>
    </w:p>
    <w:p w14:paraId="429A0E17"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Back of the eyes/ eye pressure: </w:t>
      </w:r>
    </w:p>
    <w:p w14:paraId="2B1B511D" w14:textId="77777777" w:rsidR="001A1296" w:rsidRPr="007514C1" w:rsidRDefault="001A1296" w:rsidP="001A1296">
      <w:pPr>
        <w:spacing w:after="0" w:line="240" w:lineRule="auto"/>
      </w:pPr>
    </w:p>
    <w:p w14:paraId="52038752" w14:textId="77777777" w:rsidR="001A1296" w:rsidRPr="007514C1" w:rsidRDefault="001A1296" w:rsidP="001A1296">
      <w:pPr>
        <w:pStyle w:val="ListParagraph"/>
        <w:numPr>
          <w:ilvl w:val="0"/>
          <w:numId w:val="5"/>
        </w:numPr>
        <w:spacing w:after="0" w:line="240" w:lineRule="auto"/>
        <w:rPr>
          <w:sz w:val="22"/>
        </w:rPr>
      </w:pPr>
      <w:r w:rsidRPr="007514C1">
        <w:rPr>
          <w:sz w:val="22"/>
        </w:rPr>
        <w:t xml:space="preserve">Every year in case of hypertension and diabetics; </w:t>
      </w:r>
    </w:p>
    <w:p w14:paraId="6C6B410F" w14:textId="77777777" w:rsidR="001A1296" w:rsidRPr="007514C1" w:rsidRDefault="001A1296" w:rsidP="001A1296">
      <w:pPr>
        <w:pStyle w:val="ListParagraph"/>
        <w:numPr>
          <w:ilvl w:val="0"/>
          <w:numId w:val="5"/>
        </w:numPr>
        <w:spacing w:after="0" w:line="240" w:lineRule="auto"/>
        <w:rPr>
          <w:sz w:val="22"/>
        </w:rPr>
      </w:pPr>
      <w:r w:rsidRPr="007514C1">
        <w:rPr>
          <w:sz w:val="22"/>
        </w:rPr>
        <w:t xml:space="preserve">Every two years from the age of 40 onwards. </w:t>
      </w:r>
    </w:p>
    <w:p w14:paraId="69ABC858" w14:textId="77777777" w:rsidR="001A1296" w:rsidRPr="007514C1" w:rsidRDefault="001A1296" w:rsidP="001A1296">
      <w:pPr>
        <w:spacing w:after="0" w:line="240" w:lineRule="auto"/>
      </w:pPr>
    </w:p>
    <w:p w14:paraId="7E31C762" w14:textId="77777777" w:rsidR="001A1296" w:rsidRPr="007514C1" w:rsidRDefault="001A1296" w:rsidP="001A1296">
      <w:pPr>
        <w:spacing w:after="0" w:line="240" w:lineRule="auto"/>
      </w:pPr>
    </w:p>
    <w:p w14:paraId="56BAFEA0" w14:textId="77777777" w:rsidR="001A1296" w:rsidRPr="007514C1" w:rsidRDefault="001A1296" w:rsidP="001A1296">
      <w:pPr>
        <w:pStyle w:val="ListParagraph"/>
        <w:numPr>
          <w:ilvl w:val="0"/>
          <w:numId w:val="1"/>
        </w:numPr>
        <w:spacing w:after="0" w:line="240" w:lineRule="auto"/>
        <w:rPr>
          <w:sz w:val="22"/>
        </w:rPr>
      </w:pPr>
      <w:r w:rsidRPr="007514C1">
        <w:rPr>
          <w:sz w:val="22"/>
        </w:rPr>
        <w:t xml:space="preserve">Special examinations depending on the nature of work, e.g. ophthalmologist every two years in case of extensive use of the computer. </w:t>
      </w:r>
    </w:p>
    <w:p w14:paraId="5EC71C0F" w14:textId="77777777" w:rsidR="001A1296" w:rsidRPr="007514C1" w:rsidRDefault="001A1296" w:rsidP="001A1296">
      <w:pPr>
        <w:spacing w:after="0" w:line="240" w:lineRule="auto"/>
      </w:pPr>
    </w:p>
    <w:p w14:paraId="178C66C9" w14:textId="77777777" w:rsidR="001A1296" w:rsidRPr="007514C1" w:rsidRDefault="001A1296" w:rsidP="001A1296">
      <w:pPr>
        <w:spacing w:after="0" w:line="240" w:lineRule="auto"/>
        <w:rPr>
          <w:b/>
          <w:u w:val="single"/>
        </w:rPr>
      </w:pPr>
      <w:r w:rsidRPr="007514C1">
        <w:rPr>
          <w:b/>
          <w:u w:val="single"/>
        </w:rPr>
        <w:t xml:space="preserve">Optional </w:t>
      </w:r>
    </w:p>
    <w:p w14:paraId="004FDFC0" w14:textId="77777777" w:rsidR="001A1296" w:rsidRPr="007514C1" w:rsidRDefault="001A1296" w:rsidP="001A1296">
      <w:pPr>
        <w:spacing w:after="0" w:line="240" w:lineRule="auto"/>
        <w:rPr>
          <w:b/>
          <w:u w:val="single"/>
        </w:rPr>
      </w:pPr>
    </w:p>
    <w:p w14:paraId="13477B1B" w14:textId="77777777" w:rsidR="001A1296" w:rsidRPr="007514C1" w:rsidRDefault="001A1296" w:rsidP="001A1296">
      <w:pPr>
        <w:spacing w:after="0" w:line="240" w:lineRule="auto"/>
      </w:pPr>
      <w:r w:rsidRPr="007514C1">
        <w:t>HIV antibodies (AIDS) test only after discussion with the patient and his/her accord and signature.</w:t>
      </w:r>
    </w:p>
    <w:p w14:paraId="384A70AF" w14:textId="77777777" w:rsidR="001A1296" w:rsidRPr="007514C1" w:rsidRDefault="001A1296" w:rsidP="001A1296">
      <w:pPr>
        <w:spacing w:after="0" w:line="240" w:lineRule="auto"/>
      </w:pPr>
    </w:p>
    <w:p w14:paraId="141FED5C" w14:textId="67BAE0DC" w:rsidR="00D602CF" w:rsidRPr="001A1296" w:rsidRDefault="00D602CF" w:rsidP="001A1296"/>
    <w:sectPr w:rsidR="00D602CF" w:rsidRPr="001A129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D9A3" w14:textId="77777777" w:rsidR="001B11A4" w:rsidRDefault="001B11A4" w:rsidP="001B11A4">
      <w:pPr>
        <w:spacing w:after="0" w:line="240" w:lineRule="auto"/>
      </w:pPr>
      <w:r>
        <w:separator/>
      </w:r>
    </w:p>
  </w:endnote>
  <w:endnote w:type="continuationSeparator" w:id="0">
    <w:p w14:paraId="3C5BF966" w14:textId="77777777" w:rsidR="001B11A4" w:rsidRDefault="001B11A4" w:rsidP="001B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043AD" w14:textId="77777777" w:rsidR="001B11A4" w:rsidRDefault="001B11A4" w:rsidP="001B11A4">
      <w:pPr>
        <w:spacing w:after="0" w:line="240" w:lineRule="auto"/>
      </w:pPr>
      <w:r>
        <w:separator/>
      </w:r>
    </w:p>
  </w:footnote>
  <w:footnote w:type="continuationSeparator" w:id="0">
    <w:p w14:paraId="77B17FDE" w14:textId="77777777" w:rsidR="001B11A4" w:rsidRDefault="001B11A4" w:rsidP="001B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4395" w14:textId="77777777" w:rsidR="001B11A4" w:rsidRPr="00AD3E80" w:rsidRDefault="001B11A4" w:rsidP="001B11A4">
    <w:pPr>
      <w:pStyle w:val="Header"/>
      <w:jc w:val="right"/>
      <w:rPr>
        <w:rFonts w:ascii="Tahoma" w:hAnsi="Tahoma" w:cs="Tahoma"/>
        <w:sz w:val="20"/>
      </w:rPr>
    </w:pPr>
    <w:r>
      <w:rPr>
        <w:noProof/>
      </w:rPr>
      <w:drawing>
        <wp:inline distT="0" distB="0" distL="0" distR="0" wp14:anchorId="58619E2E" wp14:editId="33FE3436">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Pr>
        <w:noProof/>
      </w:rPr>
      <w:t xml:space="preserve">  </w:t>
    </w:r>
    <w:r>
      <w:rPr>
        <w:noProof/>
      </w:rPr>
      <w:tab/>
    </w:r>
    <w:r>
      <w:rPr>
        <w:noProof/>
      </w:rPr>
      <w:tab/>
    </w:r>
    <w:r w:rsidRPr="00AD3E80">
      <w:rPr>
        <w:rFonts w:ascii="Tahoma" w:hAnsi="Tahoma" w:cs="Tahoma"/>
        <w:sz w:val="20"/>
      </w:rPr>
      <w:t xml:space="preserve">Ref. </w:t>
    </w:r>
    <w:r w:rsidRPr="00AF1E3D">
      <w:rPr>
        <w:rFonts w:ascii="Tahoma" w:hAnsi="Tahoma" w:cs="Tahoma"/>
        <w:sz w:val="20"/>
      </w:rPr>
      <w:t>09/2018/OP</w:t>
    </w:r>
    <w:r>
      <w:rPr>
        <w:rFonts w:ascii="Tahoma" w:hAnsi="Tahoma" w:cs="Tahoma"/>
        <w:sz w:val="20"/>
      </w:rPr>
      <w:t>/</w:t>
    </w:r>
    <w:r w:rsidRPr="00AD3E80">
      <w:rPr>
        <w:rFonts w:ascii="Tahoma" w:hAnsi="Tahoma" w:cs="Tahoma"/>
        <w:sz w:val="20"/>
      </w:rPr>
      <w:t>EITPROC</w:t>
    </w:r>
  </w:p>
  <w:p w14:paraId="4A864397" w14:textId="77777777" w:rsidR="001B11A4" w:rsidRDefault="001B1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4B8B"/>
    <w:multiLevelType w:val="hybridMultilevel"/>
    <w:tmpl w:val="BF5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228DC"/>
    <w:multiLevelType w:val="hybridMultilevel"/>
    <w:tmpl w:val="90D8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711CC"/>
    <w:multiLevelType w:val="hybridMultilevel"/>
    <w:tmpl w:val="509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52B9B"/>
    <w:multiLevelType w:val="hybridMultilevel"/>
    <w:tmpl w:val="04EC3D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9E46F4"/>
    <w:multiLevelType w:val="hybridMultilevel"/>
    <w:tmpl w:val="85CA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1A1296"/>
    <w:rsid w:val="001B11A4"/>
    <w:rsid w:val="003F2977"/>
    <w:rsid w:val="005672AF"/>
    <w:rsid w:val="007612B4"/>
    <w:rsid w:val="00861908"/>
    <w:rsid w:val="00A37B23"/>
    <w:rsid w:val="00C61F4F"/>
    <w:rsid w:val="00D6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AB5"/>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296"/>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1A1296"/>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1A1296"/>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1A1296"/>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1A1296"/>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1B1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1A4"/>
  </w:style>
  <w:style w:type="paragraph" w:styleId="Footer">
    <w:name w:val="footer"/>
    <w:basedOn w:val="Normal"/>
    <w:link w:val="FooterChar"/>
    <w:uiPriority w:val="99"/>
    <w:unhideWhenUsed/>
    <w:rsid w:val="001B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3D500-9400-44E9-A2FF-BE806B859703}">
  <ds:schemaRefs>
    <ds:schemaRef ds:uri="office.server.policy"/>
  </ds:schemaRefs>
</ds:datastoreItem>
</file>

<file path=customXml/itemProps2.xml><?xml version="1.0" encoding="utf-8"?>
<ds:datastoreItem xmlns:ds="http://schemas.openxmlformats.org/officeDocument/2006/customXml" ds:itemID="{20FF170D-B3D9-4335-B46A-41B8F4851592}">
  <ds:schemaRefs>
    <ds:schemaRef ds:uri="http://schemas.microsoft.com/sharepoint/events"/>
  </ds:schemaRefs>
</ds:datastoreItem>
</file>

<file path=customXml/itemProps3.xml><?xml version="1.0" encoding="utf-8"?>
<ds:datastoreItem xmlns:ds="http://schemas.openxmlformats.org/officeDocument/2006/customXml" ds:itemID="{A938D161-7AB0-416F-B18C-85739E0C3C29}">
  <ds:schemaRefs>
    <ds:schemaRef ds:uri="http://schemas.microsoft.com/office/2006/metadata/customXsn"/>
  </ds:schemaRefs>
</ds:datastoreItem>
</file>

<file path=customXml/itemProps4.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508F3-D963-4021-8699-7FC7DFD5CEAD}">
  <ds:schemaRefs>
    <ds:schemaRef ds:uri="http://schemas.microsoft.com/office/2006/documentManagement/types"/>
    <ds:schemaRef ds:uri="dbe9b4a5-a025-4228-80d5-30deb54d8e3f"/>
    <ds:schemaRef ds:uri="http://purl.org/dc/terms/"/>
    <ds:schemaRef ds:uri="f15a1405-0245-46da-834c-0baab4fc940b"/>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sharepoint/v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7D6326F-443B-45E8-BB76-78D94C774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Brajkovic Pataki</dc:creator>
  <cp:keywords/>
  <dc:description/>
  <cp:lastModifiedBy>Iuliana Vizitiu</cp:lastModifiedBy>
  <cp:revision>2</cp:revision>
  <dcterms:created xsi:type="dcterms:W3CDTF">2018-06-20T07:51:00Z</dcterms:created>
  <dcterms:modified xsi:type="dcterms:W3CDTF">2018-06-20T07:51:00Z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41edfde9-ad9d-4b46-b49c-04de7711ef4c</vt:lpwstr>
  </property>
  <property fmtid="{D5CDD505-2E9C-101B-9397-08002B2CF9AE}" pid="3" name="ContentTypeId">
    <vt:lpwstr>0x010100ACFC544E695238468FB7B0D96C470CE600938E2B590E81584E908FE2F670F7DED6</vt:lpwstr>
  </property>
  <property fmtid="{D5CDD505-2E9C-101B-9397-08002B2CF9AE}" pid="4" name="TaxKeyword">
    <vt:lpwstr/>
  </property>
</Properties>
</file>